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9936" w14:textId="6FE6829D" w:rsidR="004B426A" w:rsidRPr="00D626EE" w:rsidRDefault="00D626EE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</w:pPr>
      <w:r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РЕПУБЛИКА</w:t>
      </w:r>
      <w:r w:rsidR="004B426A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СРПСКА</w:t>
      </w:r>
    </w:p>
    <w:p w14:paraId="053F99F1" w14:textId="2E6D6B55" w:rsidR="004B426A" w:rsidRPr="00D626EE" w:rsidRDefault="00D626EE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НАРОДНА</w:t>
      </w:r>
      <w:r w:rsidR="004B426A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СКУПШТИНА</w:t>
      </w:r>
    </w:p>
    <w:p w14:paraId="7401668C" w14:textId="77777777" w:rsidR="004B426A" w:rsidRPr="00D626EE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4C80B4E" w14:textId="77777777" w:rsidR="004B426A" w:rsidRPr="00D626EE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966B8AE" w14:textId="658EA431" w:rsidR="004B426A" w:rsidRPr="00D626EE" w:rsidRDefault="00D626EE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З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А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П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И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Н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И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К</w:t>
      </w:r>
    </w:p>
    <w:p w14:paraId="34C7C31A" w14:textId="379E3F66" w:rsidR="004B426A" w:rsidRPr="00D626EE" w:rsidRDefault="00D626EE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са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Треће</w:t>
      </w:r>
      <w:r w:rsidR="00140B89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посебне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сједнице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Народне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скупштине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Републике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Српске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,</w:t>
      </w:r>
    </w:p>
    <w:p w14:paraId="6E9498C1" w14:textId="59017797" w:rsidR="004B426A" w:rsidRPr="00D626EE" w:rsidRDefault="00D626EE" w:rsidP="004B4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одржане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="00140B89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21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.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децембра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="00140B89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2022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.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године</w:t>
      </w:r>
    </w:p>
    <w:p w14:paraId="55B51BEC" w14:textId="77777777" w:rsidR="004B426A" w:rsidRPr="00D626EE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FFD17A9" w14:textId="3EFD65C2" w:rsidR="004B426A" w:rsidRPr="00D626EE" w:rsidRDefault="004C239B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ab/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Трећа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посебна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сједница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скупштине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одржана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21.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децембра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2022.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Бањој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Луци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4B816996" w14:textId="77777777" w:rsidR="004B426A" w:rsidRPr="00D626EE" w:rsidRDefault="004B426A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EBC8C5D" w14:textId="126BB160" w:rsidR="004B426A" w:rsidRPr="00D626EE" w:rsidRDefault="00D626EE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скупштине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даљем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тексту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отворио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засједање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Треће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посебне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сједнице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констатовао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одсуство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сједнице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најавили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Дијана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Чекић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Вукомановић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Предраг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Нешић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119F407B" w14:textId="25796515" w:rsidR="00140B89" w:rsidRPr="00D626EE" w:rsidRDefault="00140B89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D27AB86" w14:textId="249A5F85" w:rsidR="00140B89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почетку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сједнице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поздравио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:</w:t>
      </w:r>
    </w:p>
    <w:p w14:paraId="2D0CB5A0" w14:textId="1162C7CA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Милорада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Додика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потпредсједника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Давора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Прањића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5BA08381" w14:textId="410F8CCE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предсједавајућег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Предсједништва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Жељку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Цвијановић</w:t>
      </w:r>
    </w:p>
    <w:p w14:paraId="37E1D789" w14:textId="7BAB45CE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предсједавајућег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Вијећа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Сребренку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Голић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потпредсједавајуће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Војислава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Глигића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осталих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Јовану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Чаркић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реда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хрватског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Наду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Тешановић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</w:p>
    <w:p w14:paraId="6E167D48" w14:textId="454E6F1D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Уставног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Џерарда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Селмана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републичког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правобраниоца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Милимира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Говедарицу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6FD11D2D" w14:textId="644B21C4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предсједавајућег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Савјета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Зорана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Тегелтију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</w:p>
    <w:p w14:paraId="44594873" w14:textId="7E1A905A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Парламентарној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Сању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Вулић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Мирослава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Вујичића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Петковића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3BC339A" w14:textId="77777777" w:rsidR="004C239B" w:rsidRPr="00D626EE" w:rsidRDefault="004C239B" w:rsidP="004C239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03D3C6B" w14:textId="14C85961" w:rsidR="00140B89" w:rsidRPr="00D626EE" w:rsidRDefault="00D626EE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дипломатског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3843AA24" w14:textId="287D9EB1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генералног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конзула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Бањој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Луци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Милоша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Вујића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16E2F5AE" w14:textId="3B515E23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замјеника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амбасадора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Руске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Федерације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Андреја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Морозова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1BF7DC72" w14:textId="4B60C8E2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Канцеларије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Европске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Бањој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Луци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0ED0B8CA" w14:textId="61F1DD68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шефа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Канцеларије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ОЕБС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Бањој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Луци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Јиржија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Роуса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784DD9C6" w14:textId="19D866D8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опуномоћеног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министра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Словеније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Бориса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Јеловшека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5DA86A34" w14:textId="48F9E0A8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генералног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конзула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Хрватске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Бањој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Луци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Зорана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Пиличића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</w:p>
    <w:p w14:paraId="20FF2EAD" w14:textId="0BB103AC" w:rsidR="00140B89" w:rsidRPr="00D626EE" w:rsidRDefault="00D626EE" w:rsidP="00140B8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генералног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конзула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Турске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Бањој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Луци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Огуза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Килича</w:t>
      </w:r>
      <w:r w:rsidR="004C239B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1FF1F15" w14:textId="77777777" w:rsidR="004C239B" w:rsidRPr="00D626EE" w:rsidRDefault="004C239B" w:rsidP="004C239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</w:p>
    <w:p w14:paraId="78AE57E5" w14:textId="12086ACC" w:rsidR="00140B89" w:rsidRPr="00D626EE" w:rsidRDefault="00D626EE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вјерских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заједница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Епархија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бањалучка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Муфтијство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бањалучко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</w:p>
    <w:p w14:paraId="7BA69833" w14:textId="47F238A0" w:rsidR="009F0692" w:rsidRPr="00D626EE" w:rsidRDefault="00D626EE" w:rsidP="009F069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представнике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православне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цркве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господина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Воју</w:t>
      </w:r>
      <w:r w:rsidR="009F0692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Савића</w:t>
      </w:r>
      <w:r w:rsidR="009D0811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2EA5D4D7" w14:textId="77777777" w:rsidR="009D0811" w:rsidRPr="00D626EE" w:rsidRDefault="009D0811" w:rsidP="009D081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36EDD1C" w14:textId="5F3E315B" w:rsidR="00140B89" w:rsidRPr="00D626EE" w:rsidRDefault="00D626EE" w:rsidP="00372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савеза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5F254AD2" w14:textId="14EF9FEF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Борачке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34B4375A" w14:textId="5962756B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пензионера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00BC421A" w14:textId="2563B7B6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послодаваца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5140A115" w14:textId="7C9C9FD9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Републичке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породица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заробљених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погинулих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бораца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несталих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цивила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377080F7" w14:textId="73731338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Савеза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синдиката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72105CF8" w14:textId="2E68CF0C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Привредне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коморе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78CB7CBE" w14:textId="764A1817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Синдиката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управе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317D7F88" w14:textId="26844F09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новинара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36925DA6" w14:textId="6DF29811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грађана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„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Ветерани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“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281F6998" w14:textId="5B476272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Савеза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ратних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војних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инвалида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</w:p>
    <w:p w14:paraId="5822C036" w14:textId="3702F9AC" w:rsidR="00140B89" w:rsidRPr="00D626EE" w:rsidRDefault="00D626EE" w:rsidP="009F069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Савеза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општина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градова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D665201" w14:textId="77777777" w:rsidR="009F0692" w:rsidRPr="00D626EE" w:rsidRDefault="009F0692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bookmarkStart w:id="0" w:name="_Hlk122076812"/>
    </w:p>
    <w:p w14:paraId="2C17DE2E" w14:textId="16B54C94" w:rsidR="00140B89" w:rsidRPr="00D626EE" w:rsidRDefault="00D626EE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Трећа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сједница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сазвана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основу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170</w:t>
      </w:r>
      <w:r w:rsidR="008014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3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171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1C6ACE8" w14:textId="77777777" w:rsidR="009F0692" w:rsidRPr="00D626EE" w:rsidRDefault="009F0692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bookmarkEnd w:id="0"/>
    <w:p w14:paraId="3C067B15" w14:textId="471CB2CE" w:rsidR="009F0692" w:rsidRPr="00D626EE" w:rsidRDefault="00D626EE" w:rsidP="001948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Милорад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Додик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дао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мандат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нове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господину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Радовану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Вишковићу</w:t>
      </w:r>
      <w:r w:rsidR="00140B8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6B99ABD8" w14:textId="77777777" w:rsidR="009F0692" w:rsidRPr="00D626EE" w:rsidRDefault="009F0692" w:rsidP="009F0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EABCB88" w14:textId="77777777" w:rsidR="004B426A" w:rsidRPr="00D626EE" w:rsidRDefault="004B426A" w:rsidP="009F06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FABEBEE" w14:textId="6F4EF413" w:rsidR="004B426A" w:rsidRPr="00D626EE" w:rsidRDefault="00D626EE" w:rsidP="001948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Посланици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усвојили</w:t>
      </w:r>
    </w:p>
    <w:p w14:paraId="31870D43" w14:textId="77777777" w:rsidR="004B426A" w:rsidRPr="00D626EE" w:rsidRDefault="004B426A" w:rsidP="009F06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5148A4D" w14:textId="21B9D812" w:rsidR="004B426A" w:rsidRPr="00D626EE" w:rsidRDefault="00D626EE" w:rsidP="009F06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ДНЕВНИ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РЕД</w:t>
      </w:r>
    </w:p>
    <w:p w14:paraId="194E6C06" w14:textId="77777777" w:rsidR="007605CD" w:rsidRPr="00D626EE" w:rsidRDefault="007605CD" w:rsidP="009F06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</w:p>
    <w:p w14:paraId="200A5FFA" w14:textId="5256E1CB" w:rsidR="004B426A" w:rsidRPr="00D626EE" w:rsidRDefault="00D626EE" w:rsidP="009F06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Избор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955AD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4910AF8B" w14:textId="1CFA85C8" w:rsidR="004B426A" w:rsidRPr="00D626EE" w:rsidRDefault="00D626EE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Програм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кандидата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приједлогом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202B4A67" w14:textId="40E0A21A" w:rsidR="004B426A" w:rsidRPr="00D626EE" w:rsidRDefault="00D626EE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Избор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7D22244" w14:textId="282B0A2C" w:rsidR="004B426A" w:rsidRPr="00D626EE" w:rsidRDefault="00D626EE" w:rsidP="007605CD">
      <w:pPr>
        <w:spacing w:after="0" w:line="240" w:lineRule="auto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Избор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955AD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379642C" w14:textId="0F6247C5" w:rsidR="004B426A" w:rsidRPr="00D626EE" w:rsidRDefault="00D626EE" w:rsidP="009F06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Полагање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свечане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заклетве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955AD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3049AD1" w14:textId="77777777" w:rsidR="004B426A" w:rsidRPr="00D626EE" w:rsidRDefault="004B426A" w:rsidP="009F0692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D351307" w14:textId="1AA380DA" w:rsidR="007605CD" w:rsidRPr="00D626EE" w:rsidRDefault="00D626EE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D626EE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са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80,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79) 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75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гласова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за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ниједним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против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и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четири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посланика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су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се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уздржала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од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гласања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.</w:t>
      </w:r>
    </w:p>
    <w:p w14:paraId="503289E4" w14:textId="77777777" w:rsidR="007605CD" w:rsidRPr="00D626EE" w:rsidRDefault="007605CD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</w:p>
    <w:p w14:paraId="420ECF28" w14:textId="7F7DD63B" w:rsidR="004B426A" w:rsidRPr="00D626EE" w:rsidRDefault="00D626EE" w:rsidP="009F0692">
      <w:pPr>
        <w:keepNext/>
        <w:spacing w:after="0" w:line="240" w:lineRule="auto"/>
        <w:ind w:left="810" w:hanging="810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Ад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– 1: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Избор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Владе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Републике</w:t>
      </w:r>
      <w:r w:rsidR="004B426A"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CS" w:eastAsia="x-none"/>
        </w:rPr>
        <w:t>Српске</w:t>
      </w:r>
    </w:p>
    <w:p w14:paraId="4D2E090C" w14:textId="77777777" w:rsidR="004B426A" w:rsidRPr="00D626EE" w:rsidRDefault="004B426A" w:rsidP="004B426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</w:pPr>
    </w:p>
    <w:p w14:paraId="414AD379" w14:textId="586BEA76" w:rsidR="007605CD" w:rsidRPr="00D626EE" w:rsidRDefault="00737F9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ab/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Предсједник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обавијестио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присутне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да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мандатар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Радован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Вишковић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затражио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дуже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вријеме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за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уводно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излагање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,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те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да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се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,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складу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са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чланом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134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Пословника</w:t>
      </w:r>
      <w:r w:rsidR="0038250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,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дозволи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обраћање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трајању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до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1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2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0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минута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.</w:t>
      </w:r>
    </w:p>
    <w:p w14:paraId="7FC168C1" w14:textId="77777777" w:rsidR="007605CD" w:rsidRPr="00D626EE" w:rsidRDefault="007605CD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</w:pPr>
    </w:p>
    <w:p w14:paraId="17DB68A8" w14:textId="54BD09FA" w:rsidR="007605CD" w:rsidRPr="00D626EE" w:rsidRDefault="00D626EE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Приједлог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>је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x-none"/>
        </w:rPr>
        <w:t>усвојен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x-none"/>
        </w:rPr>
        <w:t>са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x-none"/>
        </w:rPr>
        <w:t xml:space="preserve"> 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(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80, </w:t>
      </w: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7605CD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79) 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69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гласова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за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четири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против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и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>шест</w:t>
      </w:r>
      <w:r w:rsidR="007605CD" w:rsidRPr="00D626E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посланика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се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уздржало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од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гласања</w:t>
      </w:r>
      <w:r w:rsidR="007605CD" w:rsidRPr="00D626E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.</w:t>
      </w:r>
    </w:p>
    <w:p w14:paraId="1312F9A3" w14:textId="77777777" w:rsidR="004B426A" w:rsidRPr="00D626EE" w:rsidRDefault="004B426A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Cyrl-CS" w:eastAsia="sr-Cyrl-BA"/>
        </w:rPr>
      </w:pPr>
    </w:p>
    <w:p w14:paraId="59FFB024" w14:textId="16AB7E7D" w:rsidR="004B426A" w:rsidRPr="00D626EE" w:rsidRDefault="00737F9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Радован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Вишковић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мандатар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изложио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програм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предложио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свог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кабинета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Народној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0EE51425" w14:textId="77777777" w:rsidR="00382504" w:rsidRPr="00D626EE" w:rsidRDefault="00382504" w:rsidP="007605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BAFC13A" w14:textId="606ADBAF" w:rsidR="00893C9C" w:rsidRPr="00D626EE" w:rsidRDefault="00382504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„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Поштовани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70949028" w14:textId="0A35C15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Поштовани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потпредсједници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0E6B3051" w14:textId="07E6CD2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Поштовани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4129488D" w14:textId="014A5E1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Поштована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члану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67D11ABE" w14:textId="43BD11D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5BFBDCD7" w14:textId="14A70CF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6853FA92" w14:textId="7129335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вјерски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великодостојници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78C0A467" w14:textId="584D908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екселенције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амбасадори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116FFCCE" w14:textId="0405C3D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10422835" w14:textId="4BC1844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Поштовани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550D23AA" w14:textId="31036AE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741E0340" w14:textId="642AF5C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Стојећи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осјећам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привилегију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цијењеном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тражим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састав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програм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E6FADEE" w14:textId="5E2E690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челу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остварила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запажене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резултате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сложеним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околностима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изложио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децембру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модификован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потрошила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скоро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двије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 2020-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2021.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донијели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кризу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кажем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указују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субјекте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започели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пројекте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D704AB7" w14:textId="53BD916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стабилна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просперитетна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дејтонским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адекватно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захтјеве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Сигурно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окружења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сусретати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потешкоћама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позитивни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трендови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биљежи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чврсто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вјерујемо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обиљежено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позитивним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кретањима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напретком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7EF44B8" w14:textId="29FFB26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криза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узрокована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утицала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одступимо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промјенимо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Сумирајући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данас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урађено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истаћи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бриге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партнерима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синдикатом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12C1272" w14:textId="1999E47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данас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вишеструко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дошло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одбитка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200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1.000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збирне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стопе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доприноса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33%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31%,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стопе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доходак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примања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10%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8%,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одбитка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издржаване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чланове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породице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100%-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415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практично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посматраном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клин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одражава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оптерећење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доприноса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38,5%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34,1%,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посматрано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1.000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клин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Србији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38,1%,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Хрватској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39,2%,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42,6%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посматрано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просјечну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2CC83D1" w14:textId="2FBBCA7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добит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проширење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олакшице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улагања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Буџет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5,4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16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прихода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укинуто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неколико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30,5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годишњем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AE9D20D" w14:textId="139014C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Просјечна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опорезивања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857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1.198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октобру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39,8%.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266.309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289.098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8,6%,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304.024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326.047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7,2%.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105.793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66.504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септембру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37,1%.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доказује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обзира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посљедице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72C107E" w14:textId="4F540A2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говоримо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акумулирао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сусрели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зауставимо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акумулирање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ојачамо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уводећи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усвајањем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регулативе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пацијената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приликом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остваривања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урађеног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чему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много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детаљније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0818E76" w14:textId="452B762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Неефикасност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неефикасност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везивали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754312CA" w14:textId="2EDB208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четири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кажем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стварања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детаљан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свеобухватан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акциони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двогодишњи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експерата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експерата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поштујући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динамику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акционим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реализују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предвиђене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додијељен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статус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акционара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доприноса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подразумијева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организационе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Генералном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секретаријату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кажем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искораке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јасан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двије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максимално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посвећени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роковима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934CBFE" w14:textId="3E44D73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одузела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готово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двије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утицали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одложити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9828572" w14:textId="1BB42F5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Прилагођавање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дуготрајном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сигуран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доказ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добром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вриједме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готово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обзира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долазе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истичу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проблем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недостатка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снаге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врху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F464CC4" w14:textId="161432B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експозеу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децембру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захтијева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дугорочне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људима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родитељству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неповољни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трендови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захтијевају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компонента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ускучена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6FBD9B0" w14:textId="329FC29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Истраживање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иновације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седам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претхдоном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довољну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важнијих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6DB10A7" w14:textId="4386B26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седмом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Европске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сарадња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сматрам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</w:t>
      </w:r>
      <w:r w:rsidR="00382504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–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позиционирамо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окружењу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поносни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опредјељење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европске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испуњавање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мишљења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Европске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комисије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механизмом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D1A96BB" w14:textId="132CC01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потврдимо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макроекономских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Стопе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2019.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2021.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износиле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2,5%, -2,5%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6,9%,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респективно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4,4%.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подсјетити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2020.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2,5%,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најмањи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земљама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Србије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0156963" w14:textId="2563598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Покривеност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извозом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75,5%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79,4%,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покривеност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извозом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незапосленост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одредница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потврдили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макроекономских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284.000,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326.000.</w:t>
      </w:r>
    </w:p>
    <w:p w14:paraId="4078D2B5" w14:textId="4BDA98F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показатеља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37,8%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36,3%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30.</w:t>
      </w:r>
      <w:r w:rsidR="00382504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6.</w:t>
      </w:r>
      <w:r w:rsidR="00382504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48,4%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43,7%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30.</w:t>
      </w:r>
      <w:r w:rsidR="00997299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6.2022.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6383820" w14:textId="20E57DD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истаћи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инфлација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енергетска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криза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тренутно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свјетски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проблеми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проузроковани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присиљена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обзира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утицала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појаву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одмах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енергетски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стабилна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услуга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потрошњу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индексом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потрошачких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октобру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мјесец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просјеку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1,8%,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октобар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15,5%.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процјенама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2022.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очекује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просјечна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инфлација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13,3%,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2023.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6,0%,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краткорочни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инфлацијом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достигнутог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куповне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5CE23AD" w14:textId="44BE842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појачаном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видљивом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органа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обуздао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дјелатностима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оправдани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разлози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пружамо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циљану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најпотребније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очувања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достигнутог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куповне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03B8E06" w14:textId="7BBAB76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Буџет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пољопривреду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2023.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износу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180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сложеним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снабдијевања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77C43E6A" w14:textId="23E8074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Засигурно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понашамо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енергији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ситуацију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неодговорне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непотребне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потрошње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изгубимо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продајом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вишкова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енергије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берзама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37201B3" w14:textId="2CE62A4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67B7F46F" w14:textId="75B2C37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резултата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дијелом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осврнуо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поносан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остварени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засигурно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нестабилан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обуздавању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инфлације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ријешити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ризик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мислим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приступити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мислећи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729404F" w14:textId="1FE3CC1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окупљени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окупимо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оснажимо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494E573" w14:textId="608597A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Поновићу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децембру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гласније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засигирно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резултате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проводила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синдикатом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пензионерима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људима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предложене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односиле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обезбједили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широк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консензус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заинтересованих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F3342F1" w14:textId="4A2D6A0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очекујем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академске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медија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аргументовано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указати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договорима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C9C1368" w14:textId="1217683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детаљно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свјесни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морали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помјеримо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притиснути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сукоба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препреке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отклонити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5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обзиром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сигуран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програм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презентовати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оптимистичан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аспекта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аспекта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динамике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сматрам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предвиђене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AA1605D" w14:textId="14F971C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фокусу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5BFA92B2" w14:textId="457002B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36DA985F" w14:textId="478E0B0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7B1448F4" w14:textId="2D8DB4C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543FADAD" w14:textId="48FCBB5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29F6BB90" w14:textId="1369BE9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EFEBD64" w14:textId="6C62B70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7DB4658A" w14:textId="1811AC9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0CA85287" w14:textId="45676FB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истакнем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конститутивној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сједници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именовати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групе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сматрам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предуслов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дугорочном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група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задатак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2023.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карту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праведнију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расподјелу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најугроженије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групе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2023.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иновира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миграциона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ресурси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стављени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снаге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2024.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2025-2030.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2030.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2024.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3A8B2A18" w14:textId="7C5CB7B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07DAB59C" w14:textId="3580D2D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дозволите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164AEA0" w14:textId="034FB75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</w:p>
    <w:p w14:paraId="0E8BDD4F" w14:textId="6A43187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слиједеће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26B5E77C" w14:textId="0912C86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Завршетак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пројекта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2B7E3F7A" w14:textId="7F3E78D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Оптимизацију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2555E8BA" w14:textId="2F453A1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Сузбијање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6BCDE8A5" w14:textId="6DE17E8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технолошком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5562E58F" w14:textId="324575F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4E0D787D" w14:textId="6A6BD91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5D42F92" w14:textId="7AD8D24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Завршетак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пројекта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</w:p>
    <w:p w14:paraId="6831DDE9" w14:textId="5BE1680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урађен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укидање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комуналних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накнада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судских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годишњем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донијело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уштеде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30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милиона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укидања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другачијег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обрачуна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8ACB402" w14:textId="2369F07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Оптимизација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</w:p>
    <w:p w14:paraId="34827E47" w14:textId="3BC5E59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оптимизације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подразумијева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идентификованих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јединственом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дозвола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потврда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рјешења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издају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органи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оправданости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оправданости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захтијевања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неопходне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документације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трошкова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времена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прибављању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сљедећи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предлагање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спровођење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поједностављења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трошкова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времена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2B38FA8" w14:textId="710757C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Сузбијање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</w:p>
    <w:p w14:paraId="3D9AD72E" w14:textId="0C6DC53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Проблему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Српкске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редовне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формирања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пооштрити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Инспектората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базирајући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формирања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непријављени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пријављени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пуног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времена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непријављене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дјелатности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исплату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извлачење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доходак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плаћању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готовим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новцем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сузићемо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готовим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новцем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нелојалне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акценат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ставићено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83DCD90" w14:textId="7F7601F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механизам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принудне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603F396" w14:textId="3CD0401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Савезом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синдиката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могућности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избјегли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злоупотребу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најниже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нелојалну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послодаваца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обезбједили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мислим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потписивање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колективних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уговора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B515F4B" w14:textId="1B9C9D2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технолошком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развоју</w:t>
      </w:r>
    </w:p>
    <w:p w14:paraId="1BC182C9" w14:textId="32B8C9F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ситуацији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недостатка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снаге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исправан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технологија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довести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иностраном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повећавајући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вриједност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технологија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снагама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продуктивност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C782226" w14:textId="1B2DAEB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</w:p>
    <w:p w14:paraId="27C2FEF9" w14:textId="13ED3CB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различитим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често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дешава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посвећује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посљедично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резултат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обухваћени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предузетништва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смислу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реорганизацију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третман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смислу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предузетништва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препознати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проблем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оснажити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компоненту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ојачаћемо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аналитичку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предузетништа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заснована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истраживањима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ширем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EBC50F9" w14:textId="6EF9343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објединили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мјесту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Прецизније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речено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дрвошрерађивачима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договорили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дрвопрераду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одјељење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пољопривреде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шумарства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водопривреде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97B5B58" w14:textId="305A895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олакшања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административне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оптерећености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фазу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Инспектората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обједињујући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инспекцијске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постизања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бољег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инспекцијске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спречавања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двоструких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преклапање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Инспектората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ефективнијим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C6BEE40" w14:textId="0911BE2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Инвестицоно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банке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Гарантног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дефинишући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концепт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банке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улагање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технологије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стриктно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прописане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онемогућиле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злоупотребе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Гарантни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отворити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гарант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задуживање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притиска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повољне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кредитне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технолошки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домаћих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компанија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63AE881" w14:textId="72F125A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капитала</w:t>
      </w:r>
    </w:p>
    <w:p w14:paraId="7CF67C78" w14:textId="0DB78A8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поједностављивање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трошкова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обвезница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електронски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проспект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могућност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емитенте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градова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предложених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садашња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оптерећена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обимне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документације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поједностави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електронски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проспект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ажурирао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објављивања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Континуирана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емисија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емитенту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симболу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дневној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емисију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обвезница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флексибилности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упоредила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овердрафт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кредитом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постало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банкарским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градова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олакшало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краткорочно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записи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711FF1B" w14:textId="74A6A1E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регулаторно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окружење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пружити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отвореног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обвезничког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Пензијског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резервног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инструмент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улагање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отвореног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обвезничког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улажу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обвезнице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градова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избјегава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посредовања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банака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ограничења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погледу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изложености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пружа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зараде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камате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тренутно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добијају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орочену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8747DDC" w14:textId="3315EFC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регулаторни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пружити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Централном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хартија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вриједности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депозитарних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инвестиционих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рачуна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C74D4F4" w14:textId="0387D72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</w:p>
    <w:p w14:paraId="47B98316" w14:textId="43A0401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32E6BC28" w14:textId="0B7E5A8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58CD2A37" w14:textId="300E1738" w:rsidR="00893C9C" w:rsidRPr="00D626EE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ab/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засниваће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слиједећим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реформама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51D95818" w14:textId="55173E3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укључујући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1A1581F0" w14:textId="64A32B3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46269945" w14:textId="2865D9E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51D2D80A" w14:textId="6B8BDD5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20B6C7A9" w14:textId="314D2B4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6442A34" w14:textId="5E33B21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</w:p>
    <w:p w14:paraId="7013D066" w14:textId="59C6E64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укључујући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обухвате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стварања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јединствене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евиденције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транспарентнијег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коришћења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буџетских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лична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примања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потрошње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55A8147" w14:textId="59DF800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</w:p>
    <w:p w14:paraId="2C1E78D4" w14:textId="5D1C08E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преуслов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аналитичка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сегмент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појединчано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упоредимо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трошкове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80E368F" w14:textId="260FE61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пратиће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регулативе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државним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службеницима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принципима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отклањање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недостатака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појављивали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2C8A643" w14:textId="13C3C20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</w:p>
    <w:p w14:paraId="269F2511" w14:textId="5133AA2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ефективније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употребе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обухвата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обезбједи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јасан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преглед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достпуних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пратила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пракси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додјељују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евентауално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даваоца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помоћи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повезаност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даваоцима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податке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доступним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времену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ојачали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аналитичку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употребљивост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50E8620" w14:textId="0FC7B30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</w:p>
    <w:p w14:paraId="393C5304" w14:textId="4A13382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омогућавају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поједностављење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процедура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доступнијим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увезивање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услуга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пружају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директно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приближили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грађанину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2F374F6" w14:textId="4B1F482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</w:p>
    <w:p w14:paraId="60DAF3B5" w14:textId="190E3DB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предуслову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позитивним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искуствима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Србије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јединствени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Информациони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центар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јединствене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издатим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полисама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регистрованим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штетама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аутоодговорности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регистрованим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штетама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полисама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примјену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бонус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/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малус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дигитално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тарифирање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могућност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фалсификовања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аутоодго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превара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штетама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трошкове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спровођења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обезбјеђивања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адекватних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исплату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апсолутну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тржиштем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аутоодговорности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остварили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Информационог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центра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омогућити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евиденцију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аутоодговорности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времену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удјела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животног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пољопривредне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елементарних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непогода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6FD0CBB" w14:textId="7C73B27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</w:p>
    <w:p w14:paraId="31C6B1A1" w14:textId="2898888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усмјерена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Подсјетићу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детаљну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започели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2019.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слиједећим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2E99477B" w14:textId="736902A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4957F2EE" w14:textId="710018D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4E0F659C" w14:textId="60E0F60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8EC0503" w14:textId="1B7691F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утврђивања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ризицима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одабраним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подизање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одбора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71893395" w14:textId="0521BBF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свеобухватну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процјену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интегрисаног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свеобухватне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стратегије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свеобухватну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дугорочну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Јединице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примијенити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онлајн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прикупљања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података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78CBFC2" w14:textId="4D45594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функционисање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посљедично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прихваћену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DA54D38" w14:textId="2F326B8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утврдити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јасне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критеријуме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власништво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принципе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корпоративног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9902BB8" w14:textId="15931B4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донијети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методологију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постојеће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уградити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контролне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прописаним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органи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оквиру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својих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благовремено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разматрање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усвајање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уговора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испуњавање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израђиваће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нарочито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аспекте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рокове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коришћења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намјенским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акцизама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државном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помоћи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субвенцијама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правовремено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доношење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трогодишњим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пројекцијама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документима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AEA0B88" w14:textId="353079D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објављују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детаљне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ревалоризационим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добицима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губицима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исправци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вриједности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имовине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десетогодишњи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вредновања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власништву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експлоатишу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захтјеве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коришћењем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провјерених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методологија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обрачун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капиталних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расхода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амортизације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власништву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експлоатишу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захтјеве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извјештавања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83C187E" w14:textId="1F6CC9B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утврђивањем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параметара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помоћ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независне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ревизије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надзора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подстицаја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тражње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4848D9E" w14:textId="4B6BD25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Израдитићемо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методологију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утврђивање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израчун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припремити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једнообразне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анализе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донијети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прописе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обуставу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пракси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унакрсног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субвенционисања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средњорочне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рационализације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7C2C435" w14:textId="2F8B934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реализовано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институционалних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механизама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реструктурирању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транзицији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5EDDC07" w14:textId="3B0AE61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допуне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прописа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утврђивања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критеријума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поступака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информационих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транспарентности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механизме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реструктурисању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приватизацији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реструктурисања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Процјенићемо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приједлоге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приједлоге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реструктурисања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прописима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искњижићемо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ненаплативе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евиденција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затворена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ликвидирана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окончан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поступак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стечаја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усвојићемо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отпочињање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реструктурисања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534F9E3" w14:textId="6A73F77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</w:p>
    <w:p w14:paraId="1A3A809B" w14:textId="79760D8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51646E02" w14:textId="37F1561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14DD294E" w14:textId="63A42FE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слиједећим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0386625E" w14:textId="1117347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карте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55785922" w14:textId="3B303E2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050054E8" w14:textId="3A5DC77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пензијског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инвалидског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78C5FCCE" w14:textId="4C87596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борачко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инвалидске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BBD3CA9" w14:textId="09DAE7C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карте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</w:p>
    <w:p w14:paraId="25CD193B" w14:textId="1FBDBF2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Наиме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накнаде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статусу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припадности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створити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простор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накнада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корисницима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накнаде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заиста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ефикаснијим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ефективнијим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прдуслов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наведено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карте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приодитетних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701E809" w14:textId="4B6B87C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</w:p>
    <w:p w14:paraId="4F2F9422" w14:textId="5F8B822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акумулирао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буџетског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чиме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умањена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његова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дисциплина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зауставили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акумулирање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измирили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значајан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законске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регулативе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повећавајући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F52C7A5" w14:textId="7AE0341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измирујемо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неизмирене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обавезе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сваке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учинимо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укључујемо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трезорски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Увођењем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транспарентности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створићемо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неопходне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спровођење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нормирању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мреже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најбољим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праксама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уважавајући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трендове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саобраћајне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изналажењу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модела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пакета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FED26F3" w14:textId="6AE0AA0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пензијског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инвалидског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осигурања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борачко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инвалидске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</w:p>
    <w:p w14:paraId="17FBF1AD" w14:textId="6A53661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брига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посвећена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популацији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пензионера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борачкој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полулацији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мјесту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истакнем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таква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важна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одредница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Нагласићу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смањивати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достигнути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изналажењу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одрживих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извора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њихово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7733292" w14:textId="60AA668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Удружењем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пензионера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организацијама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проистеклим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одбрамбено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отаџбинског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акцентом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најугроженије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5967D1C5" w14:textId="7119739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Одмах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формирању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формираћемо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интерресорну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групу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положаја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сегментима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осталог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бањско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лијечење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категорија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помоћ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породицама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осуђених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Војске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запошљавање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демобилисаних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бораца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дјеце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погинулих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EE75E62" w14:textId="0D63739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</w:p>
    <w:p w14:paraId="28739871" w14:textId="349A535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75ABEA09" w14:textId="6F9F4F6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засниваће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слиједећим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5F3E43F1" w14:textId="29845F9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миграционе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72C16B4F" w14:textId="57294C6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013EB216" w14:textId="5FD8595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људима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EAED1D2" w14:textId="0840F7A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миграционе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</w:p>
    <w:p w14:paraId="73B4523B" w14:textId="49B0F7A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четири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захтијева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дугорочне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направила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искорак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позиције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првенствено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људе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унапређујући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студентски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рјешавање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стамбених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питања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посвећена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положаја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мајки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породиља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настојећи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додатно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стимулишемо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проширење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породице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7C3A5AE" w14:textId="4DCEE0E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Потпуно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свјесни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проблема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негативног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природног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прираштаја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недовољног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рађања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старења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сигуран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потпуно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фискалне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компензују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оваква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негативна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кретања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сигурни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тешко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миграционе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наметнута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7B7F4FA" w14:textId="5C59225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идентична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посебну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пажњу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посветимо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људима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родитељству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утицале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положаја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младих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усмјереним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усклађивање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породичног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професионалног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живота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дугорочно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довести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мотивације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останак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подручју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повећати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стопу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укупног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фертилитета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побољшати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73E02D2" w14:textId="667AF83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Због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једанпут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нагласим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компонента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утиче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слику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незаобилазан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фактор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42D97E7" w14:textId="6131A1A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</w:p>
    <w:p w14:paraId="2429413A" w14:textId="1D72796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Имајући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протеклих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десет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корак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промјени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приступа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модернизацији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преусмјеравање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средстава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тренутно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троше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модернизацију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великог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броја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технолошки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изазов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будуће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функционисање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економије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суочити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промјеном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потребом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стварања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мјеста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опстанка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претпоставка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њен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реформа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останак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нараштаја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Знање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ресурс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напредак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сматра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најпрофитабилније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21.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вијеку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улагања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науку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DB80C69" w14:textId="3AF6C39D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разлога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стварање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претпоставки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постати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материјалне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предуслове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кадра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усмјеравања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ученика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промовисати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континуитету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унапређивати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8C0F6C7" w14:textId="10B42B5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хитно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започети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успостављањем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реорганизоване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мреже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базиране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стварним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оправданости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њиховог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постојања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материјалне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вредновања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усклађености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значајније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учешће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праксе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промовисати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цјеложивотно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учење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DC819F2" w14:textId="6848B8B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модернизацији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високошколских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усклађивању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потребама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унутрашње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ефикасности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високошколских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хитној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интернационализацији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студијских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промоцији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утврђивању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стварне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цијене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коштања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студијског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09810E3" w14:textId="6C45562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фокус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оснивању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Иновационог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централног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фонда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буџетска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издвајања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улагања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послодаваца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истраживачких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института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мањак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студената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научноистраживачки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припремају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спроводе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978ECD4" w14:textId="7699EE9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људима</w:t>
      </w:r>
    </w:p>
    <w:p w14:paraId="6F2265B7" w14:textId="2E1894D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Ефикасно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коришћење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људског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потенцијала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суштину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дјеловања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кључ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стварања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одрживог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корекцији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расподјеле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корист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корист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најпроактивније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најпродуктивније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популације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Прецизније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речено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дугогодишњи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негативни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трендови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потакнути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лошим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природним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прираштајем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старењем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миграцијом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становништва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условили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смањење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понуде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снаге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главна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визија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преусмјерена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корекције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прерасподјели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5A5227B" w14:textId="3A0BE5A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наведеним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креираћемо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смјеру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афирмације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њиховог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ранијег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укључивања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свијет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формирања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породице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Кроз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флексибилнији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обезбједићемо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афирмацију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навика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укључивање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ученика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свијет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истицати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дигитална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рјешења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флексибилност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регулаторних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кратком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ријешити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проблем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неповезаности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потенцијала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тржишта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B288C0A" w14:textId="463A174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стимулацијама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успоставићемо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Пакет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фокусом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дорпиноса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новозапослене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новооснованим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компанијама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власници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субвенцијама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куповину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некретнине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D916726" w14:textId="43EA220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спорт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важна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одредница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животу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младог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човјека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Законом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спорту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усвојен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активном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бављењу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спортом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додатном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спортских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клубова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могућности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модалитете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растерећења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обавезе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уплате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доприноса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BFADB21" w14:textId="317CC35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41B5592E" w14:textId="6A63B71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652B0B88" w14:textId="4EB7A6C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осврнућу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спровођене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укључене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стубова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Прецизније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речено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3F6647BC" w14:textId="3F3F356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51DABD47" w14:textId="49D9DCE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4F9C3FA8" w14:textId="4D2BC69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F7F307E" w14:textId="7BB8239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инвестициони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</w:t>
      </w:r>
    </w:p>
    <w:p w14:paraId="6D740459" w14:textId="0B5A37F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појектима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кажем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замајац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довешће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извоза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обезбједити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додатну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стабилност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конкуренстност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унаприједити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животни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мислећи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саобраћајне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услуга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6D7BB7A" w14:textId="16073D6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детаљно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образлажем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тренутно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планирану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динамику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најважнији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Хидроелектрана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Дабар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Фоча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Паунци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Бистрица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соларне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вјетроелектране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D3FF595" w14:textId="284665A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елекроенергетских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истакнем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саобраћајне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кључни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мислим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мреже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аутопутева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брзих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путева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обилазница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већих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мостова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рехабилитацију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постојеће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жељезничке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мреже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реструктуирање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модернизацију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жељезничке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Желим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истакнем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неколико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ријеци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Градишке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Аутопут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Аутопут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Коридору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аутопут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Вукосавља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Брчког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пројектно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техничке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документације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Зворник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Соколац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Источно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Сарајево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Вишеград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-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Вардиште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Требињу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Фоча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Шћепан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међудржавним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мостом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Фоча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–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Тјентиште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мостом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ријеке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9BD5328" w14:textId="0FB5EFD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система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уложила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значајна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активности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усмјерене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иградњу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реконструкцију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сектору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мислим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Зворник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Фоча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рекреативни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центар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Топлице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Ортопедска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хирургија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Слатина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физикалну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медицину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рехабилитацију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Мљечаница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Кардиохирургија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пружање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здравствене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обољелих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малигних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болести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Санација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Матерните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Клинике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инфективне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болести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планираних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издвојићу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Медицински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комплекс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Реконструкцију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психијатријске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Реконструкцију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санацију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Градишка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Изградњу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Болнице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Требиње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F810C4F" w14:textId="2D9B109B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интеграција</w:t>
      </w:r>
    </w:p>
    <w:p w14:paraId="14C2268B" w14:textId="62F55B2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говорим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приоритета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будућем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чему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јесте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потпуна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поштовање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положаја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противићемо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каквим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покушајима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злоупотребе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интеграционог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слабљење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одузимање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досљедној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примјени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механизма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координације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сегментима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интеграционог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Званични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Брисел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поузданог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партнера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услов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поштовања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положаја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надлежности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74D4F13" w14:textId="4169546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евентуалног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чланства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кретати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искључиво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оквирима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војна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неутралност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пратити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ставове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A7ED495" w14:textId="4BF5379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сарадња</w:t>
      </w:r>
    </w:p>
    <w:p w14:paraId="6EAE5E9F" w14:textId="2CD4C77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остаје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опредијељена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унапређење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јачање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Преиспитаћемо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досадашње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резултате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капацитете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Представништава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свијету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стварања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рационалније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ефикасније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мреже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јачања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заинтересованим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странама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Фокус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стратешких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опредјељења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смјерница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дјеловању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дијаспори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најбољи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амбасадор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свијету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270FBC3" w14:textId="0B4F6E3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ријеч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отворена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Наравно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поновићу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централно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мјесто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заузимају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Србијом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поносом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констатовати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огледа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различитим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видовима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помоћи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обезбиједила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њеним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грађанима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3774760" w14:textId="2FB1FB4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Поновићу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једанпут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опредјељење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случају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умањује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значај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парнтерима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посебно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мјесто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заузима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Федерација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наврата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показала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искрен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пријатељ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смијемо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никад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заборавити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Федерација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одувијек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заузимала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принципијелан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питању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поштивања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Дејтонског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мировног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споразума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залагала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објективност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истинит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приказ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сједницама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тако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сједницама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Савјета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безбједности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1F9F80F" w14:textId="5FEA470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присутнија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просторима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значајан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партнер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интензивирају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ријеч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различитих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инфраструктуриних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пројеката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просвјетној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културној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много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потенцијала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даљи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између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интензивирању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шансу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DAE042E" w14:textId="0A4876B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Мађарске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одлична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ширимо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јачамо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49DF6DF" w14:textId="50D0F77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Дозволите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готово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истакнем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61C4474" w14:textId="48ACB76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Канцеларија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</w:p>
    <w:p w14:paraId="557AD71A" w14:textId="2E33EF5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Канцеларија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затворена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67AF440" w14:textId="7CC9CFA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</w:p>
    <w:p w14:paraId="55F9002F" w14:textId="409376B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Такође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инсистирамо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судије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показало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највећи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донесен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прегласавањем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Сматрамо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овакво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дјеловање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правдом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оваква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злоупотреба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Уставног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против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њених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донијети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никакав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напредак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4C88E91C" w14:textId="74ED1F6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3B63AF70" w14:textId="6BB5123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2018-2022.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свеобухватним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свеукупним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може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реализује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живота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очекивати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7A4E3479" w14:textId="53CE37E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бруто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домаћег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производа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25400F87" w14:textId="416F754E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Смањење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стопе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незапослености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25A07467" w14:textId="3D2C7DA8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пензија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179E5C67" w14:textId="7E37F93C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;</w:t>
      </w:r>
    </w:p>
    <w:p w14:paraId="314B8BBF" w14:textId="03EA32E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буџетских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прихода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3A3CFE4C" w14:textId="1AA45D72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Повећање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инвестиција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0F47044" w14:textId="30BCAAF7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4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сигуран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констатујемо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потпуности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одговорила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себе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поставили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пандемије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вируса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корона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глобалне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кризе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изазване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сукобима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Украјини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4C83C58E" w14:textId="1719BC3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очекивања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морати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бавимо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рјешавањем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проблема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посљедица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екстерних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узели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четири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могу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поновим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циљеви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остати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непромјењени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намјером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додатног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побољшања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стандарда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живота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наших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грађана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додатак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:</w:t>
      </w:r>
    </w:p>
    <w:p w14:paraId="763EC527" w14:textId="4676607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праведније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;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</w:p>
    <w:p w14:paraId="611E70F0" w14:textId="09C0150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Демографски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одрживо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0529326D" w14:textId="743DFC63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188026F0" w14:textId="3C01A9E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господо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07628687" w14:textId="02CC8C5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морам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напоменем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пажња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усмјерена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обухваћене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експозеом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експозеом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обухватио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области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захтијевати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структурне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реформе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9CFAB81" w14:textId="3FB1C86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вези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одмах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формирању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израдићемо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Акциони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детаљно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којима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предано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наредном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јасним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роковима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одговорним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институцијама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квартала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сједницама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анализираћемо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реализацију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мјера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дефинисаних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Акционим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5EF3521F" w14:textId="14BBAF2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Молим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будете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изради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ресора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цјелини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сваку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појединачно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веома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важно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осигурамо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власништво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реформским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процесима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цијелог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Будите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слободни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укажете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сматрате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можемо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урадимо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боље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ћемо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заједничким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напорима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успјети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успјешно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одговоримо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постављене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циљеве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имате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истинског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партнера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спремног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дијалог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размјену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идеја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смо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располагању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било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тренутку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6AC0DAC0" w14:textId="79B0D29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Уважени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,</w:t>
      </w:r>
    </w:p>
    <w:p w14:paraId="0394DC15" w14:textId="248A50D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Дозволите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самом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излагања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предложим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чланове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затражим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вашу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подршку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будућу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5948021" w14:textId="469CB3A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Видовић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1954.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Доњим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Срђевићима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Гимназију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Београду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професионалној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каријери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руководилац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Стирокарт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прихода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Филијале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Бањалучке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банке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филијале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Балкан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инвестмент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банке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"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Живинопродукта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Микрокредитне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организације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"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Микрокредит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"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Пореске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Српкиња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37CFF23" w14:textId="251F9E2F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унутрашњих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послова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Синиша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Каран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1962.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Грабовцу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Манастир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Купресу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гимназију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Сарајеву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Магистарске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студије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одбранио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докторску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дисертацију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Редовни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професор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Паневропског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АПЕИРОН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безбједност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Независног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органима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унутрашњих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задацима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: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командира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Купрес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СУП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Купрес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Одјељења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криминалитета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безбједности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Центар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Сарајево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сузбијање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криминалитета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МУП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кривичних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истрага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СИПА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обавјештајног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одјељења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СИПА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Служби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савјетника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безбједност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Генералног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последњем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сазиву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Генералног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5AC33C5" w14:textId="4106484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научно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технолошки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високо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образовање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информационо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друштво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Жељко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Будимир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.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1977.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Санском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Мосту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породицом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1995.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живи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завршава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магистрира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Београду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стиче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Изабран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доцента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почетку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професионалне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каријере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компанији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Телеком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руководилац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2020.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савјетник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члана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3DDF353" w14:textId="523A754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саобраћаја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веза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Недељко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Чубриловић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.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1953.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Крупи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Врбасу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Машинском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конструктора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Извршног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одбора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одборника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саобраћаја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Деветог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Десетог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сазива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5B809CF1" w14:textId="0EC5115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рударства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Петар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Ђокић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1961.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занимању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економиста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политичких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дужности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нивоу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Брчко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дужност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борачко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инвалидске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2011.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индустрије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рударства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другом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дужност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енергетике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рударства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0DE17AD" w14:textId="29C38B89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здравља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Ален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Шеранић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.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1977.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Гимназију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Медицински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додатну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едукацију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породичне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медицине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специјализацију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епидемиологије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Мастер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тезу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одбранио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оквиру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Кил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Великој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Британији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завршетку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медицине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Кључ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након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чега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каријеру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наставио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различитим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позицијама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именован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технологије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октобра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овлашћењу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просвјете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културе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претходном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сазиву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Владе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децембра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здравља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заштите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Бошњак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D4EB161" w14:textId="145F123A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lastRenderedPageBreak/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европске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интеграције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међународну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сарадњу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Златан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Клокић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1983.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Прњавору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Електротехнички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Електрокрајина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јединица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Електро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дистрибуција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Прњавор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руководиоца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јединице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Крајем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децембра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именован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односе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периоду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европске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интеграције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међународну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Бошњак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65D4E0B" w14:textId="2C3F86E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просвјете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културе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Жељка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Стојичић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1959.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Сарајеву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анализе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заједници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Мањача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Шеф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рачуноводства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Шумском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газдинству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“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Лисина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Одјељења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Одјељења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Мркоњић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Помоћник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Ресору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буџет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Министарству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пута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бирана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обављала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функцију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потпредсједника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Хрватица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5241DF7" w14:textId="2860AD16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просторно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уређење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грађевинарство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екологију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Бојан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Випотник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1982.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пословни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инжењеринг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менаџмент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Комерцијалној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банци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Бањалука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стручни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сарадник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консалтинг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шеф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Кабинета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просвјете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културе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Хрват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</w:p>
    <w:p w14:paraId="679E2E8C" w14:textId="498A22D0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привреде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предузетништва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Војин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Митровић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.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1961.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Доњи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Бродац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машинског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инжињера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техничких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техничких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фабрици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Мајевица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Бачкој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Паланци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Фабрици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Панафле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x“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фирми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Октан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промет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октобру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осваја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посланички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изборима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освојио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Представничком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дому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Парламента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децембра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2019.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именован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комуникација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транспорта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Савјету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изборима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2022.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освојио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73D7C6C1" w14:textId="26DF2F01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пољопривреде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шумарства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водопривреде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Саво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Минић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1974.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Шамцу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Дубици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Оџак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Шамцу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Бијељини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Положи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правосудни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адвокатски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испит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БАвио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адвокатском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дјелатношћу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обављао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дужност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Шамац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Агенције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аграрна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плаћања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привредног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друштва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Калдера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Компани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Лакташи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2AD22B2E" w14:textId="71E5C32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трговине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туризма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Севлид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Хуртић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1970.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гдје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касније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стекао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звање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магистра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доктора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економских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наука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одброник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посљедњим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изборима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изабран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Бошњак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D085E9C" w14:textId="678AC3E5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правде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Милош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Букејловић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1989.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Правни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Новом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Агенцији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развој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малих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управи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потпредсједник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предсједник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директор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Електро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Добој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Хрват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444A319" w14:textId="1930B022" w:rsidR="00893C9C" w:rsidRPr="00D626EE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рада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борачко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-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инвалидске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заштите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Драгослав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Кабић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1972.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Основну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грађевинску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занимању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мастер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инжењер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грађевинарства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звање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стекао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Универзитету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Београду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досадашњој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пословној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каријери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руководилац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техничких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АД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Водовод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Начелник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Одјељења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саобраћај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комуналне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заштиту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животне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средине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имовинско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стамбене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послове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Градској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lastRenderedPageBreak/>
        <w:t>одборник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града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Приједора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два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мандата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посланик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Народној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Скупштини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Србин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177B9F82" w14:textId="33D38A7E" w:rsidR="00893C9C" w:rsidRPr="00D626EE" w:rsidRDefault="00893C9C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управе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локалне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самоуправе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Сенка</w:t>
      </w:r>
      <w:r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Јујић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Рођена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1963.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Босанској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Дубици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Дипломирала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Правном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факултету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Бањој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Луци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Радила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друштвених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прихода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Босанској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Дубици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Станици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безбједности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Босанска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Дубица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Општинском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секретаријату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привреду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финансије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Козарској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Дубици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Јавној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установи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Центар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социјални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рад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Козарској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Дубици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од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2020.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министар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управе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локалне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самоуправе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Влади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Републике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Српске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 w:rsidR="00D626EE">
        <w:rPr>
          <w:rFonts w:ascii="Times New Roman" w:eastAsia="Calibri" w:hAnsi="Times New Roman" w:cs="Times New Roman"/>
          <w:i/>
          <w:iCs/>
          <w:noProof/>
          <w:lang w:val="sr-Cyrl-CS"/>
        </w:rPr>
        <w:t>Бошњакиња</w:t>
      </w:r>
      <w:r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</w:t>
      </w:r>
    </w:p>
    <w:p w14:paraId="3BC9B86C" w14:textId="78F4DD14" w:rsidR="00893C9C" w:rsidRPr="00D626EE" w:rsidRDefault="00D626EE" w:rsidP="00893C9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i/>
          <w:iCs/>
          <w:noProof/>
          <w:lang w:val="sr-Cyrl-CS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Министар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породицу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омладину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спорт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Републике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Српске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Дадо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>Доган</w:t>
      </w:r>
      <w:r w:rsidR="00893C9C" w:rsidRPr="00D626EE">
        <w:rPr>
          <w:rFonts w:ascii="Times New Roman" w:eastAsia="Calibri" w:hAnsi="Times New Roman" w:cs="Times New Roman"/>
          <w:b/>
          <w:bCs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Рођен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1988.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године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Јајцу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Средњу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техничку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завршио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Брчком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дипломирао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Високо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грађевинско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-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геодетској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школи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струковних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студија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одсјек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архитектура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Београду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Радио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Јавном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предузећу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„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Комунално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Брчко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“,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био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запослен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општинској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управи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Пелагићево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,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те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Јединици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имплементацију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Регионалног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стамбеног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програма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оквиру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Републичког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секретаријата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за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расељена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лица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миграције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.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По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националности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је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 xml:space="preserve"> </w:t>
      </w:r>
      <w:r>
        <w:rPr>
          <w:rFonts w:ascii="Times New Roman" w:eastAsia="Calibri" w:hAnsi="Times New Roman" w:cs="Times New Roman"/>
          <w:i/>
          <w:iCs/>
          <w:noProof/>
          <w:lang w:val="sr-Cyrl-CS"/>
        </w:rPr>
        <w:t>Бошњак</w:t>
      </w:r>
      <w:r w:rsidR="00893C9C" w:rsidRPr="00D626EE">
        <w:rPr>
          <w:rFonts w:ascii="Times New Roman" w:eastAsia="Calibri" w:hAnsi="Times New Roman" w:cs="Times New Roman"/>
          <w:i/>
          <w:iCs/>
          <w:noProof/>
          <w:lang w:val="sr-Cyrl-CS"/>
        </w:rPr>
        <w:t>.''</w:t>
      </w:r>
    </w:p>
    <w:p w14:paraId="56EDF113" w14:textId="77777777" w:rsidR="00893C9C" w:rsidRPr="00D626EE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9193195" w14:textId="5C8D0AC4" w:rsidR="00893C9C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737F9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мандатар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састав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владе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Вишковић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Жунић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Споменка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Драгомир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Васић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Желимир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Нешковић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Ђорђе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Вучинић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Мирна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Бањац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Маја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Драгојевић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Мирјана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Орашанин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Ранка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Ромић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Загорка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Граховац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Ђурић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Савановић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Денис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Шулић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Радислав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Дончић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Бодирога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Дарко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Берјан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Александар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Трнинић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Рамиз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Салкић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Дринић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Милица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Ијачић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Марковић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Петровић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Ања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Љубојевић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Мирела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Кајкут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Зељковић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Биљана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Петковић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Владо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Ђајић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F9CA434" w14:textId="77777777" w:rsidR="00893C9C" w:rsidRPr="00D626EE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2BF021A" w14:textId="20AE02FC" w:rsidR="00893C9C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737F9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имали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Севлид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Хуртић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Славенко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Ристић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Ђорђе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Вучинић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Загорка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Граховац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Савановић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Мирсад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Дуратовић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Ален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Шеранић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Драгослав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Кабић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Бодирога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Петровић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Ђурић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Рамиз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Салкић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Жунић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Наташа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Радуловић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Младен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Борис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Пашалић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Марковић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33AE832A" w14:textId="48EABB46" w:rsidR="00893C9C" w:rsidRPr="00D626EE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01F3E2D" w14:textId="6C37FBAD" w:rsidR="00893C9C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Повреду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Пословника</w:t>
      </w:r>
      <w:r w:rsidR="00737F9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="00893C9C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пријавили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139</w:t>
      </w:r>
      <w:r w:rsidR="00997299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–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присутно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80,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гласало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23</w:t>
      </w:r>
      <w:r w:rsidR="00997299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– 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22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за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против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нико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један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посланик</w:t>
      </w:r>
      <w:r w:rsidR="00997299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се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уздржао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од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гласања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261, 140, 148,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27, 264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)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;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Желимир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Нешковић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139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присутно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80,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гласало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22</w:t>
      </w:r>
      <w:r w:rsidR="00997299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–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22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за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ниједан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против</w:t>
      </w:r>
      <w:r w:rsidR="00997299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,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ниједан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посланик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се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није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уздржао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од</w:t>
      </w:r>
      <w:r w:rsidR="00811DB8" w:rsidRPr="00D626E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 w:eastAsia="sr-Cyrl-BA"/>
        </w:rPr>
        <w:t>гласања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)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;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Биљна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Петковић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139)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;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811DB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177)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172)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Славенко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Ристић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139).</w:t>
      </w:r>
    </w:p>
    <w:p w14:paraId="781C0A20" w14:textId="77777777" w:rsidR="00893C9C" w:rsidRPr="00D626EE" w:rsidRDefault="00893C9C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90212EB" w14:textId="219CCEC0" w:rsidR="004B426A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0511B8DE" w14:textId="77777777" w:rsidR="00F71D34" w:rsidRPr="00D626EE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F9CACD1" w14:textId="0022FB14" w:rsidR="004B426A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Радован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Вишковић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мандатар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69751E2" w14:textId="77777777" w:rsidR="00F71D34" w:rsidRPr="00D626EE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DF54C2F" w14:textId="10BDC49C" w:rsidR="004B426A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Чланом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231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Пословника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прописано</w:t>
      </w:r>
      <w:r w:rsidR="00997299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чланови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бирају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јавним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гласањем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ако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Уставом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законом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није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другачије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одређено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467892AC" w14:textId="77777777" w:rsidR="004B426A" w:rsidRPr="00D626EE" w:rsidRDefault="004B426A" w:rsidP="004B42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A9FA408" w14:textId="53DE2767" w:rsidR="004B426A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се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изјаснили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одлукама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:</w:t>
      </w:r>
    </w:p>
    <w:p w14:paraId="0C021F7C" w14:textId="487E8A2C" w:rsidR="006F32E8" w:rsidRPr="00D626EE" w:rsidRDefault="006F32E8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987A7AE" w14:textId="04B76E37" w:rsidR="006F32E8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Одлука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пријевременом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ступању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на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снагу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Одлуке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избору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предсједника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Владе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је</w:t>
      </w:r>
      <w:r w:rsidR="006F32E8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са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bookmarkStart w:id="1" w:name="_Hlk124936509"/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6F32E8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74) </w:t>
      </w:r>
      <w:r w:rsidR="006F32E8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гласом</w:t>
      </w:r>
      <w:r w:rsidR="006F32E8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="006F32E8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четири</w:t>
      </w:r>
      <w:r w:rsidR="006F32E8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против</w:t>
      </w:r>
      <w:r w:rsidR="006F32E8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посланика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уздржало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од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гласања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.</w:t>
      </w:r>
    </w:p>
    <w:p w14:paraId="5762210B" w14:textId="77777777" w:rsidR="00F71D34" w:rsidRPr="00D626EE" w:rsidRDefault="00F71D34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bookmarkEnd w:id="1"/>
    <w:p w14:paraId="62905733" w14:textId="5F7C083D" w:rsidR="00D728D7" w:rsidRPr="00D626EE" w:rsidRDefault="00D626EE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Одлука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избору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предсједника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Владе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F71D34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Радована</w:t>
      </w:r>
      <w:r w:rsidR="00F71D34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Вишковића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је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74) 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гласом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23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против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посланик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уздржао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од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гласања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.</w:t>
      </w:r>
    </w:p>
    <w:p w14:paraId="40FE9CD0" w14:textId="02D2BD8B" w:rsidR="00D728D7" w:rsidRPr="00D626EE" w:rsidRDefault="00D728D7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5BDDA81" w14:textId="792206F6" w:rsidR="00D728D7" w:rsidRPr="00D626EE" w:rsidRDefault="00D626EE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Одлука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пријевременом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ступању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на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снагу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Одлуке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избору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чланова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Владе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је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74) 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гласом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пет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против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18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посланика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уздржало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од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гласања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.</w:t>
      </w:r>
    </w:p>
    <w:p w14:paraId="40EE8935" w14:textId="77777777" w:rsidR="00F71D34" w:rsidRPr="00D626EE" w:rsidRDefault="00F71D34" w:rsidP="00D728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557D7326" w14:textId="3F035B70" w:rsidR="00F71D34" w:rsidRPr="00D626EE" w:rsidRDefault="00D626EE" w:rsidP="00F71D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Одлука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избору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чланова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Владе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</w:p>
    <w:p w14:paraId="1EC0AE46" w14:textId="77777777" w:rsidR="00F71D34" w:rsidRPr="00D626EE" w:rsidRDefault="00F71D34" w:rsidP="00F71D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6D1517D8" w14:textId="32668797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Зора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Видовић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финансија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5D40981A" w14:textId="39BB3F74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Бојан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Випотник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просторно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уређење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грађевинарство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екологију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218072C" w14:textId="3512AA02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Недељко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Чубриловић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саобраћаја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веза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ED7E1C6" w14:textId="10B74E5C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Ђокић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енергетике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рударства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7AFD4B02" w14:textId="3D6AC037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пољопривреде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шумарства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водопривреде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2338303" w14:textId="0DE98E30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Војин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Митровић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привреде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предузетништва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D35EA85" w14:textId="49D22A79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Златан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Клокић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европске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интеграције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међународну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сарадњу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4872E7C0" w14:textId="2D1826EC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Севлид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Хуртић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туризма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7B319F44" w14:textId="05490279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Дадо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Доган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породице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омладине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спорта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9B7F0D6" w14:textId="3EDEC555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Милош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Букејловић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правде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09F0267" w14:textId="20D3B616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Синиша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Каран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унутрашњих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4F2C2041" w14:textId="690F2D2B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Драгослав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Кабић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борачко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инвалидске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заштите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ADE3A99" w14:textId="5B0CA94B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Жељко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Будимир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научнотехнолошки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развој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високо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образовање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информационо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друштво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A7AE961" w14:textId="540FA4E5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Жељка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Стојичић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просвјете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културе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08581A5D" w14:textId="3725BA67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Ален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Шеранић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здравља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социјалне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заштите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6F81962" w14:textId="38320F63" w:rsidR="00F71D34" w:rsidRPr="00D626EE" w:rsidRDefault="00D626EE" w:rsidP="00F71D3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Сенка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Јујић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управе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локалне</w:t>
      </w:r>
      <w:r w:rsidR="00F71D3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самоуправе</w:t>
      </w:r>
      <w:r w:rsidR="00737F94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293CD0D5" w14:textId="07AD857C" w:rsidR="00646FAC" w:rsidRPr="00D626EE" w:rsidRDefault="00D626EE" w:rsidP="00F71D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усвојена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је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са</w:t>
      </w:r>
      <w:r w:rsidR="00D728D7" w:rsidRPr="00D626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присутно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гласало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74) 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гласом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23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против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ниједан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посланик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уздржао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од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гласања</w:t>
      </w:r>
      <w:r w:rsidR="00D728D7" w:rsidRPr="00D626E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.</w:t>
      </w:r>
    </w:p>
    <w:p w14:paraId="29BE3049" w14:textId="345F39E3" w:rsidR="004B426A" w:rsidRPr="00D626EE" w:rsidRDefault="00D626EE" w:rsidP="004B426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Ад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–2: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Полагање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свечане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заклетве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предсједника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и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чланова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CS"/>
        </w:rPr>
        <w:t>Српске</w:t>
      </w:r>
    </w:p>
    <w:p w14:paraId="004F2DC6" w14:textId="77777777" w:rsidR="004B426A" w:rsidRPr="00D626EE" w:rsidRDefault="004B426A" w:rsidP="004B426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89BC2D1" w14:textId="4002394B" w:rsidR="004B426A" w:rsidRPr="00D626EE" w:rsidRDefault="00D626EE" w:rsidP="004B42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основу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237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положили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свечану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заклетву</w:t>
      </w:r>
      <w:r w:rsidR="004B426A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5F16930" w14:textId="77777777" w:rsidR="00737F94" w:rsidRPr="00D626EE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E69BC46" w14:textId="3A1B57AA" w:rsidR="00D728D7" w:rsidRPr="00D626EE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закључио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тачку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Трећу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сједницу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6968C6DC" w14:textId="77777777" w:rsidR="00D728D7" w:rsidRPr="00D626EE" w:rsidRDefault="00D728D7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3A1C275" w14:textId="62B32C5D" w:rsidR="00D728D7" w:rsidRPr="00D626EE" w:rsidRDefault="00737F94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складу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чланом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174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10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саставни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дио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записника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стенограм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187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страница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тонски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видео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запис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Треће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сједнице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D728D7" w:rsidRPr="00D626E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FADE8DC" w14:textId="77777777" w:rsidR="00D728D7" w:rsidRPr="00D626EE" w:rsidRDefault="00D728D7" w:rsidP="00D728D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170EA5C" w14:textId="77777777" w:rsidR="00646FAC" w:rsidRPr="00D626EE" w:rsidRDefault="00646FAC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1777950" w14:textId="0940CB5C" w:rsidR="00D728D7" w:rsidRPr="00D626EE" w:rsidRDefault="00D626EE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ГЕНЕРАЛНИ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СЕКРЕТАР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  <w:t xml:space="preserve">            </w:t>
      </w:r>
      <w:r w:rsidR="00646FAC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ПРЕДСЈЕДНИК</w:t>
      </w:r>
    </w:p>
    <w:p w14:paraId="1F75BA5F" w14:textId="5D3A765A" w:rsidR="00D728D7" w:rsidRPr="00D626EE" w:rsidRDefault="00646FAC" w:rsidP="00D728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НАРОДНЕ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СКУПШТИНЕ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ab/>
        <w:t xml:space="preserve">     </w:t>
      </w:r>
      <w:r w:rsid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НАРОДНЕ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СКУПШТИНЕ</w:t>
      </w:r>
      <w:r w:rsidR="00D728D7" w:rsidRPr="00D626EE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</w:p>
    <w:p w14:paraId="027B8CDB" w14:textId="5821119C" w:rsidR="00D728D7" w:rsidRPr="00D626EE" w:rsidRDefault="00D728D7" w:rsidP="00D728D7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</w:pPr>
      <w:r w:rsidRP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 xml:space="preserve">     </w:t>
      </w:r>
      <w:r w:rsid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>Боран</w:t>
      </w:r>
      <w:r w:rsidRP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 xml:space="preserve"> </w:t>
      </w:r>
      <w:r w:rsid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>Босанчић</w:t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ab/>
      </w:r>
      <w:r w:rsidR="00D626EE">
        <w:rPr>
          <w:rFonts w:ascii="Times New Roman" w:eastAsiaTheme="majorEastAsia" w:hAnsi="Times New Roman" w:cs="Times New Roman"/>
          <w:b/>
          <w:bCs/>
          <w:i/>
          <w:iCs/>
          <w:noProof/>
          <w:kern w:val="32"/>
          <w:sz w:val="24"/>
          <w:szCs w:val="24"/>
          <w:lang w:val="sr-Cyrl-CS"/>
        </w:rPr>
        <w:t>Др</w:t>
      </w:r>
      <w:r w:rsidRP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 xml:space="preserve"> </w:t>
      </w:r>
      <w:r w:rsid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>Ненад</w:t>
      </w:r>
      <w:r w:rsidRP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 xml:space="preserve"> </w:t>
      </w:r>
      <w:r w:rsidR="00D626EE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Cyrl-CS"/>
        </w:rPr>
        <w:t>Стевандић</w:t>
      </w:r>
      <w:r w:rsidRPr="00D626EE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Cyrl-CS"/>
        </w:rPr>
        <w:t xml:space="preserve"> </w:t>
      </w:r>
    </w:p>
    <w:p w14:paraId="58D765D4" w14:textId="77777777" w:rsidR="00D728D7" w:rsidRPr="00D626EE" w:rsidRDefault="00D728D7" w:rsidP="00D728D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14:paraId="5A6A5FAA" w14:textId="77777777" w:rsidR="00D728D7" w:rsidRPr="00D626EE" w:rsidRDefault="00D728D7" w:rsidP="00D728D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14:paraId="19F25CAB" w14:textId="77777777" w:rsidR="00402EC0" w:rsidRPr="00D626EE" w:rsidRDefault="00402EC0" w:rsidP="00D728D7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402EC0" w:rsidRPr="00D6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6" w:footer="706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CC5C4" w14:textId="77777777" w:rsidR="00F83D9E" w:rsidRDefault="00F83D9E">
      <w:pPr>
        <w:spacing w:after="0" w:line="240" w:lineRule="auto"/>
      </w:pPr>
      <w:r>
        <w:separator/>
      </w:r>
    </w:p>
  </w:endnote>
  <w:endnote w:type="continuationSeparator" w:id="0">
    <w:p w14:paraId="20099C92" w14:textId="77777777" w:rsidR="00F83D9E" w:rsidRDefault="00F8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99E9" w14:textId="77777777" w:rsidR="000A7D75" w:rsidRPr="007F2F93" w:rsidRDefault="00000000">
    <w:pPr>
      <w:pStyle w:val="Footer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2CEC" w14:textId="50CF8C90" w:rsidR="000A7D75" w:rsidRPr="00411C51" w:rsidRDefault="000A7D75" w:rsidP="00411C51">
    <w:pPr>
      <w:jc w:val="right"/>
    </w:pPr>
  </w:p>
  <w:p w14:paraId="23AB414A" w14:textId="77777777" w:rsidR="000A7D75" w:rsidRPr="003E56A2" w:rsidRDefault="000A7D75">
    <w:pPr>
      <w:pStyle w:val="Footer"/>
      <w:ind w:left="360"/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4448" w14:textId="1E06EC9F" w:rsidR="000A7D75" w:rsidRDefault="000A7D75">
    <w:pPr>
      <w:pStyle w:val="Heading1"/>
      <w:jc w:val="right"/>
      <w:rPr>
        <w:rFonts w:ascii="Calibri" w:hAnsi="Calibri"/>
        <w:b w:val="0"/>
        <w:bCs w:val="0"/>
        <w:sz w:val="24"/>
        <w:szCs w:val="24"/>
      </w:rPr>
    </w:pPr>
  </w:p>
  <w:p w14:paraId="0AB04C02" w14:textId="77777777" w:rsidR="00683C55" w:rsidRPr="00683C55" w:rsidRDefault="00683C55" w:rsidP="00683C55">
    <w:pPr>
      <w:rPr>
        <w:lang w:val="x-none" w:eastAsia="x-none"/>
      </w:rPr>
    </w:pPr>
  </w:p>
  <w:p w14:paraId="0A866A95" w14:textId="77777777" w:rsidR="000A7D75" w:rsidRPr="00E85910" w:rsidRDefault="000A7D75">
    <w:pPr>
      <w:pStyle w:val="Heading1"/>
      <w:spacing w:before="0" w:after="0"/>
      <w:ind w:left="1080" w:hanging="1080"/>
      <w:jc w:val="both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24ED" w14:textId="77777777" w:rsidR="00F83D9E" w:rsidRDefault="00F83D9E">
      <w:pPr>
        <w:spacing w:after="0" w:line="240" w:lineRule="auto"/>
      </w:pPr>
      <w:r>
        <w:separator/>
      </w:r>
    </w:p>
  </w:footnote>
  <w:footnote w:type="continuationSeparator" w:id="0">
    <w:p w14:paraId="72F91E56" w14:textId="77777777" w:rsidR="00F83D9E" w:rsidRDefault="00F8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988E" w14:textId="77777777" w:rsidR="00D626EE" w:rsidRDefault="00D626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73EF" w14:textId="77777777" w:rsidR="00D626EE" w:rsidRDefault="00D626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CDC7" w14:textId="77777777" w:rsidR="00D626EE" w:rsidRDefault="00D62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C"/>
    <w:multiLevelType w:val="hybridMultilevel"/>
    <w:tmpl w:val="B2E0E262"/>
    <w:lvl w:ilvl="0" w:tplc="F54E4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A7C98"/>
    <w:multiLevelType w:val="hybridMultilevel"/>
    <w:tmpl w:val="BB0C68F0"/>
    <w:lvl w:ilvl="0" w:tplc="CB3C57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620" w:hanging="360"/>
      </w:pPr>
    </w:lvl>
    <w:lvl w:ilvl="2" w:tplc="1C1A001B" w:tentative="1">
      <w:start w:val="1"/>
      <w:numFmt w:val="lowerRoman"/>
      <w:lvlText w:val="%3."/>
      <w:lvlJc w:val="right"/>
      <w:pPr>
        <w:ind w:left="2340" w:hanging="180"/>
      </w:pPr>
    </w:lvl>
    <w:lvl w:ilvl="3" w:tplc="1C1A000F" w:tentative="1">
      <w:start w:val="1"/>
      <w:numFmt w:val="decimal"/>
      <w:lvlText w:val="%4."/>
      <w:lvlJc w:val="left"/>
      <w:pPr>
        <w:ind w:left="3060" w:hanging="360"/>
      </w:pPr>
    </w:lvl>
    <w:lvl w:ilvl="4" w:tplc="1C1A0019" w:tentative="1">
      <w:start w:val="1"/>
      <w:numFmt w:val="lowerLetter"/>
      <w:lvlText w:val="%5."/>
      <w:lvlJc w:val="left"/>
      <w:pPr>
        <w:ind w:left="3780" w:hanging="360"/>
      </w:pPr>
    </w:lvl>
    <w:lvl w:ilvl="5" w:tplc="1C1A001B" w:tentative="1">
      <w:start w:val="1"/>
      <w:numFmt w:val="lowerRoman"/>
      <w:lvlText w:val="%6."/>
      <w:lvlJc w:val="right"/>
      <w:pPr>
        <w:ind w:left="4500" w:hanging="180"/>
      </w:pPr>
    </w:lvl>
    <w:lvl w:ilvl="6" w:tplc="1C1A000F" w:tentative="1">
      <w:start w:val="1"/>
      <w:numFmt w:val="decimal"/>
      <w:lvlText w:val="%7."/>
      <w:lvlJc w:val="left"/>
      <w:pPr>
        <w:ind w:left="5220" w:hanging="360"/>
      </w:pPr>
    </w:lvl>
    <w:lvl w:ilvl="7" w:tplc="1C1A0019" w:tentative="1">
      <w:start w:val="1"/>
      <w:numFmt w:val="lowerLetter"/>
      <w:lvlText w:val="%8."/>
      <w:lvlJc w:val="left"/>
      <w:pPr>
        <w:ind w:left="5940" w:hanging="360"/>
      </w:pPr>
    </w:lvl>
    <w:lvl w:ilvl="8" w:tplc="1C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C61878"/>
    <w:multiLevelType w:val="hybridMultilevel"/>
    <w:tmpl w:val="CA6E5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67E9C"/>
    <w:multiLevelType w:val="hybridMultilevel"/>
    <w:tmpl w:val="D2A45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D5F08"/>
    <w:multiLevelType w:val="hybridMultilevel"/>
    <w:tmpl w:val="85E8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5548E"/>
    <w:multiLevelType w:val="hybridMultilevel"/>
    <w:tmpl w:val="A5867E22"/>
    <w:lvl w:ilvl="0" w:tplc="3F18D0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0A033B"/>
    <w:multiLevelType w:val="hybridMultilevel"/>
    <w:tmpl w:val="4EB6F762"/>
    <w:lvl w:ilvl="0" w:tplc="30602B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F9584D"/>
    <w:multiLevelType w:val="hybridMultilevel"/>
    <w:tmpl w:val="85E8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3144F"/>
    <w:multiLevelType w:val="multilevel"/>
    <w:tmpl w:val="A448C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7D0EB6"/>
    <w:multiLevelType w:val="hybridMultilevel"/>
    <w:tmpl w:val="4A7260D8"/>
    <w:lvl w:ilvl="0" w:tplc="1718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E63A22"/>
    <w:multiLevelType w:val="hybridMultilevel"/>
    <w:tmpl w:val="F7BA585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2932EF8"/>
    <w:multiLevelType w:val="hybridMultilevel"/>
    <w:tmpl w:val="57109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585126">
    <w:abstractNumId w:val="11"/>
  </w:num>
  <w:num w:numId="2" w16cid:durableId="412775868">
    <w:abstractNumId w:val="10"/>
  </w:num>
  <w:num w:numId="3" w16cid:durableId="33896908">
    <w:abstractNumId w:val="3"/>
  </w:num>
  <w:num w:numId="4" w16cid:durableId="2037272415">
    <w:abstractNumId w:val="2"/>
  </w:num>
  <w:num w:numId="5" w16cid:durableId="1009261815">
    <w:abstractNumId w:val="7"/>
  </w:num>
  <w:num w:numId="6" w16cid:durableId="1823814209">
    <w:abstractNumId w:val="4"/>
  </w:num>
  <w:num w:numId="7" w16cid:durableId="314259485">
    <w:abstractNumId w:val="5"/>
  </w:num>
  <w:num w:numId="8" w16cid:durableId="1592078562">
    <w:abstractNumId w:val="6"/>
  </w:num>
  <w:num w:numId="9" w16cid:durableId="189102729">
    <w:abstractNumId w:val="9"/>
  </w:num>
  <w:num w:numId="10" w16cid:durableId="678654861">
    <w:abstractNumId w:val="1"/>
  </w:num>
  <w:num w:numId="11" w16cid:durableId="954168570">
    <w:abstractNumId w:val="0"/>
  </w:num>
  <w:num w:numId="12" w16cid:durableId="367923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6A"/>
    <w:rsid w:val="000A7D75"/>
    <w:rsid w:val="0013291A"/>
    <w:rsid w:val="00140B89"/>
    <w:rsid w:val="00194802"/>
    <w:rsid w:val="00372A6A"/>
    <w:rsid w:val="00382504"/>
    <w:rsid w:val="00402EC0"/>
    <w:rsid w:val="00411C51"/>
    <w:rsid w:val="00420F29"/>
    <w:rsid w:val="004B426A"/>
    <w:rsid w:val="004C239B"/>
    <w:rsid w:val="00584686"/>
    <w:rsid w:val="00592A49"/>
    <w:rsid w:val="00646FAC"/>
    <w:rsid w:val="00683C55"/>
    <w:rsid w:val="006C6C60"/>
    <w:rsid w:val="006F32E8"/>
    <w:rsid w:val="00737F94"/>
    <w:rsid w:val="007605CD"/>
    <w:rsid w:val="00776996"/>
    <w:rsid w:val="007A34F5"/>
    <w:rsid w:val="00801489"/>
    <w:rsid w:val="00803825"/>
    <w:rsid w:val="0080433F"/>
    <w:rsid w:val="00811DB8"/>
    <w:rsid w:val="00845534"/>
    <w:rsid w:val="00893C9C"/>
    <w:rsid w:val="00955ADA"/>
    <w:rsid w:val="00997299"/>
    <w:rsid w:val="009D0811"/>
    <w:rsid w:val="009F0692"/>
    <w:rsid w:val="00B85C76"/>
    <w:rsid w:val="00C02FB0"/>
    <w:rsid w:val="00CA4D82"/>
    <w:rsid w:val="00CC277A"/>
    <w:rsid w:val="00D0414C"/>
    <w:rsid w:val="00D626EE"/>
    <w:rsid w:val="00D728D7"/>
    <w:rsid w:val="00E34F6E"/>
    <w:rsid w:val="00F71D34"/>
    <w:rsid w:val="00F8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D298E"/>
  <w15:chartTrackingRefBased/>
  <w15:docId w15:val="{705F2EB5-EA3D-4313-B99E-FDC86351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26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B4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26A"/>
  </w:style>
  <w:style w:type="character" w:customStyle="1" w:styleId="Heading1Char">
    <w:name w:val="Heading 1 Char"/>
    <w:basedOn w:val="DefaultParagraphFont"/>
    <w:link w:val="Heading1"/>
    <w:uiPriority w:val="9"/>
    <w:rsid w:val="004B426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Strong">
    <w:name w:val="Strong"/>
    <w:uiPriority w:val="22"/>
    <w:qFormat/>
    <w:rsid w:val="004B426A"/>
    <w:rPr>
      <w:b/>
      <w:bCs/>
    </w:rPr>
  </w:style>
  <w:style w:type="paragraph" w:styleId="ListParagraph">
    <w:name w:val="List Paragraph"/>
    <w:basedOn w:val="Normal"/>
    <w:uiPriority w:val="34"/>
    <w:qFormat/>
    <w:rsid w:val="009F06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10508</Words>
  <Characters>59902</Characters>
  <Application>Microsoft Office Word</Application>
  <DocSecurity>0</DocSecurity>
  <Lines>499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dcterms:created xsi:type="dcterms:W3CDTF">2023-03-02T10:32:00Z</dcterms:created>
  <dcterms:modified xsi:type="dcterms:W3CDTF">2023-03-02T10:32:00Z</dcterms:modified>
</cp:coreProperties>
</file>